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62" w:rsidRPr="00A962BA" w:rsidRDefault="00E60462" w:rsidP="00E60462">
      <w:pPr>
        <w:pStyle w:val="ad"/>
        <w:pageBreakBefore w:val="0"/>
        <w:ind w:left="714"/>
        <w:rPr>
          <w:szCs w:val="28"/>
        </w:rPr>
      </w:pPr>
      <w:bookmarkStart w:id="0" w:name="_Toc156557356"/>
      <w:bookmarkStart w:id="1" w:name="_Toc156558004"/>
      <w:r w:rsidRPr="00A962BA">
        <w:rPr>
          <w:szCs w:val="28"/>
        </w:rPr>
        <w:t>Раздел 4 «Материалы по обоснованию проекта межевания территории. Пояснительная записка»</w:t>
      </w:r>
      <w:bookmarkEnd w:id="0"/>
      <w:bookmarkEnd w:id="1"/>
    </w:p>
    <w:p w:rsidR="00E60462" w:rsidRPr="00A962BA" w:rsidRDefault="00E60462" w:rsidP="00E60462">
      <w:pPr>
        <w:pStyle w:val="ad"/>
        <w:pageBreakBefore w:val="0"/>
        <w:numPr>
          <w:ilvl w:val="0"/>
          <w:numId w:val="1"/>
        </w:numPr>
        <w:ind w:left="714" w:hanging="357"/>
        <w:jc w:val="left"/>
        <w:rPr>
          <w:b w:val="0"/>
          <w:sz w:val="24"/>
        </w:rPr>
      </w:pPr>
      <w:bookmarkStart w:id="2" w:name="_Toc156558005"/>
      <w:r>
        <w:rPr>
          <w:b w:val="0"/>
          <w:sz w:val="24"/>
        </w:rPr>
        <w:t>Обоснование</w:t>
      </w:r>
      <w:r w:rsidRPr="00A962BA">
        <w:rPr>
          <w:b w:val="0"/>
          <w:sz w:val="24"/>
        </w:rPr>
        <w:t xml:space="preserve">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</w:t>
      </w:r>
      <w:r>
        <w:rPr>
          <w:b w:val="0"/>
          <w:sz w:val="24"/>
        </w:rPr>
        <w:t>)</w:t>
      </w:r>
      <w:r w:rsidRPr="00A962BA">
        <w:rPr>
          <w:b w:val="0"/>
          <w:sz w:val="24"/>
        </w:rPr>
        <w:t xml:space="preserve"> размерам земельных участков</w:t>
      </w:r>
      <w:bookmarkEnd w:id="2"/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Для целей разработки проекта и определения местоположения земельных участков были проведены подготовительные работы. По результатам подготовительных работ и в соответствии с заданием на выполнение работ, решены вопросы размещения земельных участков. В процессе проектирования рассматриваются возможные варианты проектных решений, проводится их обоснование и делается выбор наилучшего варианта. При этом учитывается следующее:</w:t>
      </w:r>
    </w:p>
    <w:p w:rsidR="00E60462" w:rsidRPr="00A962BA" w:rsidRDefault="00E60462" w:rsidP="00E60462">
      <w:pPr>
        <w:pStyle w:val="aa"/>
        <w:numPr>
          <w:ilvl w:val="0"/>
          <w:numId w:val="2"/>
        </w:numPr>
        <w:rPr>
          <w:szCs w:val="24"/>
        </w:rPr>
      </w:pPr>
      <w:r w:rsidRPr="00A962BA">
        <w:rPr>
          <w:szCs w:val="24"/>
        </w:rPr>
        <w:t>каждый земельный участок формируется по присущим только ему характеристикам: местоположение, целевое назначение земель, разрешенное использование, площадь, удостоверенные границы, ограничения в использовании земель, обременения правами иных лиц (сервитуты);</w:t>
      </w:r>
    </w:p>
    <w:p w:rsidR="00E60462" w:rsidRPr="00A962BA" w:rsidRDefault="00E60462" w:rsidP="00E60462">
      <w:pPr>
        <w:pStyle w:val="aa"/>
        <w:numPr>
          <w:ilvl w:val="0"/>
          <w:numId w:val="2"/>
        </w:numPr>
        <w:rPr>
          <w:szCs w:val="24"/>
        </w:rPr>
      </w:pPr>
      <w:r w:rsidRPr="00A962BA">
        <w:rPr>
          <w:szCs w:val="24"/>
        </w:rPr>
        <w:t>недопустимость пересечения земельным участком границ муниципальных образований и/или населенных пунктов, границ территориальных зон, лесничеств, лесопарков (за исключением участка, образуемого для проведения работ по геологическому изучению недр, разработки месторождений полезных ископаемых, размещения линейных объектов, гидротехнических сооружений, а также водохранилищ, иных искусственных водных объектов;</w:t>
      </w:r>
    </w:p>
    <w:p w:rsidR="00E60462" w:rsidRPr="00A962BA" w:rsidRDefault="00E60462" w:rsidP="00E60462">
      <w:pPr>
        <w:pStyle w:val="aa"/>
        <w:numPr>
          <w:ilvl w:val="0"/>
          <w:numId w:val="2"/>
        </w:numPr>
        <w:rPr>
          <w:szCs w:val="24"/>
        </w:rPr>
      </w:pPr>
      <w:r w:rsidRPr="00A962BA">
        <w:rPr>
          <w:szCs w:val="24"/>
        </w:rPr>
        <w:t>не допускается изломанность проектируемых границ, если она не обусловлена существующими естественными или искусственными рубежами.</w:t>
      </w:r>
    </w:p>
    <w:p w:rsidR="00E60462" w:rsidRPr="00A962BA" w:rsidRDefault="00E60462" w:rsidP="00E60462">
      <w:pPr>
        <w:pStyle w:val="aa"/>
        <w:rPr>
          <w:szCs w:val="24"/>
        </w:rPr>
      </w:pPr>
      <w:r>
        <w:rPr>
          <w:szCs w:val="24"/>
        </w:rPr>
        <w:t>Территория</w:t>
      </w:r>
      <w:r w:rsidRPr="00A962BA">
        <w:rPr>
          <w:szCs w:val="24"/>
        </w:rPr>
        <w:t xml:space="preserve"> проектирования расположена в различных территориальных зонах.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На основании пп.3 п.4 ст.36 Градостроительного кодекса Российской Федерации градостроительный регламент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lastRenderedPageBreak/>
        <w:t>В соответствии с ч.4 статьи 36 Земельного кодекса РФ действие градостроительных регламентов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 xml:space="preserve">В проекте межевания территории для размещения линейного объекта </w:t>
      </w:r>
      <w:r w:rsidRPr="001F219F">
        <w:t>регионального значения «</w:t>
      </w:r>
      <w:r>
        <w:t>Подъездная автомобильная дорога к «Приморскому универсально-перегрузочному комплексу» в Морском порту Приморск от автомобильной дороги федерального значения А-181 «Скандинавия»</w:t>
      </w:r>
      <w:r w:rsidRPr="00A962BA">
        <w:rPr>
          <w:szCs w:val="24"/>
        </w:rPr>
        <w:t xml:space="preserve"> при определении местоположения границ образуемых и (или) изменяемых земельных участков не учитывались границы территориальных зон и требования градостроительного регламента, в том числе предельные (минимальные и (или) максимальные) размеры земельных участков.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 xml:space="preserve">Зона планируемого размещения линейного объекта частично расположена в границах </w:t>
      </w:r>
      <w:r w:rsidRPr="00205232">
        <w:rPr>
          <w:szCs w:val="24"/>
        </w:rPr>
        <w:t xml:space="preserve">Рощинского </w:t>
      </w:r>
      <w:r w:rsidRPr="00A962BA">
        <w:rPr>
          <w:szCs w:val="24"/>
        </w:rPr>
        <w:t>лесничества Ленинградской области. Площадь зоны планируемого размещения линейного объекта регионального значения, расположенного в грани</w:t>
      </w:r>
      <w:r>
        <w:rPr>
          <w:szCs w:val="24"/>
        </w:rPr>
        <w:t>цах лесных участков, составляет</w:t>
      </w:r>
      <w:r w:rsidRPr="00A962BA">
        <w:rPr>
          <w:szCs w:val="24"/>
        </w:rPr>
        <w:t xml:space="preserve"> </w:t>
      </w:r>
      <w:r w:rsidRPr="004D32DD">
        <w:rPr>
          <w:szCs w:val="24"/>
        </w:rPr>
        <w:t>393,</w:t>
      </w:r>
      <w:r>
        <w:rPr>
          <w:szCs w:val="24"/>
        </w:rPr>
        <w:t>8767 га.</w:t>
      </w:r>
    </w:p>
    <w:p w:rsidR="00E60462" w:rsidRPr="00A962BA" w:rsidRDefault="00E60462" w:rsidP="00E60462">
      <w:pPr>
        <w:pStyle w:val="aa"/>
        <w:rPr>
          <w:szCs w:val="24"/>
        </w:rPr>
      </w:pPr>
      <w:r>
        <w:rPr>
          <w:szCs w:val="24"/>
        </w:rPr>
        <w:t xml:space="preserve">В соответствии с частью </w:t>
      </w:r>
      <w:r w:rsidRPr="00A962BA">
        <w:rPr>
          <w:szCs w:val="24"/>
        </w:rPr>
        <w:t xml:space="preserve">1 статьи 63.1 Лесного кодекса РФ лица, использующие леса в соответствии со статьями 43 – 46, обязаны обеспечить </w:t>
      </w:r>
      <w:proofErr w:type="spellStart"/>
      <w:r w:rsidRPr="00A962BA">
        <w:rPr>
          <w:szCs w:val="24"/>
        </w:rPr>
        <w:t>лесовосстановление</w:t>
      </w:r>
      <w:proofErr w:type="spellEnd"/>
      <w:r w:rsidRPr="00A962BA">
        <w:rPr>
          <w:szCs w:val="24"/>
        </w:rPr>
        <w:t xml:space="preserve"> или лесоразведение на площади, равной площади вырубленных лесных насаждений, в том числе при установлении или изменении зон с особыми условиями использования территорий, предусмотренных статьей 21 настоящего Кодекса.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 xml:space="preserve">В соответствии с </w:t>
      </w:r>
      <w:r>
        <w:rPr>
          <w:szCs w:val="24"/>
        </w:rPr>
        <w:t xml:space="preserve">частью </w:t>
      </w:r>
      <w:r w:rsidRPr="00A962BA">
        <w:rPr>
          <w:szCs w:val="24"/>
        </w:rPr>
        <w:t xml:space="preserve">2 статьи 63.1 Лесного кодекса РФ лица, в интересах которых осуществляется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категорий, обязаны обеспечить </w:t>
      </w:r>
      <w:proofErr w:type="spellStart"/>
      <w:r w:rsidRPr="00A962BA">
        <w:rPr>
          <w:szCs w:val="24"/>
        </w:rPr>
        <w:t>лесовосстановление</w:t>
      </w:r>
      <w:proofErr w:type="spellEnd"/>
      <w:r w:rsidRPr="00A962BA">
        <w:rPr>
          <w:szCs w:val="24"/>
        </w:rPr>
        <w:t xml:space="preserve"> или лесоразведение на площади, равной площади лесных земель, находящихся на таком земельном участке, исключаемом из состава земель лесного фонда.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 xml:space="preserve">В соответствии с частью3 статьи 63.1 </w:t>
      </w:r>
      <w:proofErr w:type="spellStart"/>
      <w:r w:rsidRPr="00A962BA">
        <w:rPr>
          <w:szCs w:val="24"/>
        </w:rPr>
        <w:t>лесовосстановление</w:t>
      </w:r>
      <w:proofErr w:type="spellEnd"/>
      <w:r w:rsidRPr="00A962BA">
        <w:rPr>
          <w:szCs w:val="24"/>
        </w:rPr>
        <w:t>, проводимое в соответствии с частями 1 и 2 настоящей статьи на землях лесного фонда, осуществляется в субъекте Российской Федерации, на территории которого проведена рубка лесных насаждений или осуществлен перевод земель лесного фонда в земли иных категорий, в том числе без принятия решения о переводе земельных участков из состава земель лесного фонда в земли иных категорий, либо по согласованию с уполномоченным федеральным органом исполнительной власти на территориях иных субъектов Российской Федерации, определенных таким федеральным органом исполнительной власти.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Лица, использующие леса в соо</w:t>
      </w:r>
      <w:r>
        <w:rPr>
          <w:szCs w:val="24"/>
        </w:rPr>
        <w:t xml:space="preserve">тветствии со статьями 43 – 46 и </w:t>
      </w:r>
      <w:r w:rsidRPr="00A962BA">
        <w:rPr>
          <w:szCs w:val="24"/>
        </w:rPr>
        <w:t>в интересах которых осуществляется перевод земель лесного фонда в земли иных категорий, не позднее чем через три года, если иное не установлено другими федеральными законами, после рубки лесных насаждений в случае, указанном в части 1 статьи 63.1, или после перевода земель лесного фонда в земли иных категорий в случае, указанном в части 2 статьи 63.1, обеспечивают посадку саженцев, сеянцев основных лесных древесных пород, выращенных в лесных питомниках, и агротехнический уход за лесными растениями основных лесных древесных пород в течение трех лет с момента посадки.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lastRenderedPageBreak/>
        <w:t xml:space="preserve">Правила выполнения работ по </w:t>
      </w:r>
      <w:proofErr w:type="spellStart"/>
      <w:r w:rsidRPr="00A962BA">
        <w:rPr>
          <w:szCs w:val="24"/>
        </w:rPr>
        <w:t>лесовосстановлению</w:t>
      </w:r>
      <w:proofErr w:type="spellEnd"/>
      <w:r w:rsidRPr="00A962BA">
        <w:rPr>
          <w:szCs w:val="24"/>
        </w:rPr>
        <w:t xml:space="preserve"> утверждены Приказом Минприроды России от 29.12.2021 г. №1024.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Рекомендации по восстановлению искусственным и комбинированным способами хвойных и твердолиственных молодняков на землях лесного фонда (с базовыми технологическими картами на выполнение работ) разработаны Всероссийским научно-исследовательским институтом лесоводства и механизации лесного хозяйства (ФБУ ВНИИЛМ), приняты по результатам рассмотрения на заседании секции лесопользования и воспроизводства лесов научно-технического совета Федерального агентства лесного хозяйства протокол № НК-13/573-пр от 18.12.2013.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 xml:space="preserve">Точный объем и характер мероприятий по </w:t>
      </w:r>
      <w:proofErr w:type="spellStart"/>
      <w:r w:rsidRPr="00A962BA">
        <w:rPr>
          <w:szCs w:val="24"/>
        </w:rPr>
        <w:t>лесовосстановлению</w:t>
      </w:r>
      <w:proofErr w:type="spellEnd"/>
      <w:r w:rsidRPr="00A962BA">
        <w:rPr>
          <w:szCs w:val="24"/>
        </w:rPr>
        <w:t xml:space="preserve"> должен быть определен на стадии подготовки проектной документации.</w:t>
      </w:r>
    </w:p>
    <w:p w:rsidR="00E60462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Подробная информация о лесных участках в границах планируемого размещения линейного объекта (целевое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лесов) отображена в проектной документации лесного участка.</w:t>
      </w:r>
    </w:p>
    <w:p w:rsidR="00E60462" w:rsidRDefault="00E60462" w:rsidP="00E60462">
      <w:pPr>
        <w:pStyle w:val="aa"/>
        <w:rPr>
          <w:szCs w:val="24"/>
        </w:rPr>
      </w:pPr>
    </w:p>
    <w:p w:rsidR="00E60462" w:rsidRPr="00A962BA" w:rsidRDefault="00E60462" w:rsidP="00E60462">
      <w:pPr>
        <w:pStyle w:val="ad"/>
        <w:pageBreakBefore w:val="0"/>
        <w:numPr>
          <w:ilvl w:val="0"/>
          <w:numId w:val="1"/>
        </w:numPr>
        <w:ind w:left="714" w:hanging="357"/>
        <w:jc w:val="left"/>
        <w:rPr>
          <w:b w:val="0"/>
          <w:sz w:val="24"/>
        </w:rPr>
      </w:pPr>
      <w:bookmarkStart w:id="3" w:name="_Toc156558006"/>
      <w:r w:rsidRPr="00A962BA">
        <w:rPr>
          <w:b w:val="0"/>
          <w:sz w:val="24"/>
        </w:rPr>
        <w:t>Обоснование способа образования земельного участка</w:t>
      </w:r>
      <w:bookmarkEnd w:id="3"/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>Согласно ст. 11.2 Земельного кодекса РФ установлено, что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szCs w:val="24"/>
        </w:rPr>
        <w:t xml:space="preserve">Проектом предусмотрены следующие способы образования земельных участков: путем образования из неразграниченной государственной собственности, раздел с сохранением исходного в измененных границах. Согласно </w:t>
      </w:r>
      <w:proofErr w:type="spellStart"/>
      <w:r w:rsidRPr="00A962BA">
        <w:rPr>
          <w:szCs w:val="24"/>
        </w:rPr>
        <w:t>пп</w:t>
      </w:r>
      <w:proofErr w:type="spellEnd"/>
      <w:r w:rsidRPr="00A962BA">
        <w:rPr>
          <w:szCs w:val="24"/>
        </w:rPr>
        <w:t>. 3 п.6 ст. 11.4 Земельного кодекса РФ в случае изъятия земельного участка для государственных или муниципальных нужд, при разделе земельного участка могут быть образованы один или несколько земельных участков с сохранением земельного участка, раздел которого осуществлен, в измененных границах.</w:t>
      </w:r>
    </w:p>
    <w:p w:rsidR="00E60462" w:rsidRPr="00BE1302" w:rsidRDefault="00E60462" w:rsidP="00E60462">
      <w:pPr>
        <w:pStyle w:val="aa"/>
        <w:rPr>
          <w:szCs w:val="24"/>
        </w:rPr>
      </w:pPr>
      <w:r w:rsidRPr="001F219F">
        <w:rPr>
          <w:szCs w:val="24"/>
        </w:rPr>
        <w:t>Зона планируемого размещения линейного объекта пересекает земельные участки полосы отвода железной</w:t>
      </w:r>
      <w:r>
        <w:rPr>
          <w:szCs w:val="24"/>
        </w:rPr>
        <w:t xml:space="preserve"> дороги с кадастровыми номерами 47:01:1318001:4, 47:01:1109001:30, входящие в единое землепользование 47:01:0000000:4.</w:t>
      </w:r>
      <w:r w:rsidRPr="00BE1302">
        <w:rPr>
          <w:szCs w:val="24"/>
        </w:rPr>
        <w:t xml:space="preserve"> </w:t>
      </w:r>
      <w:r w:rsidRPr="001F219F">
        <w:rPr>
          <w:szCs w:val="24"/>
        </w:rPr>
        <w:t>По сведениям из Единого государственного реестра недвижимости (ЕГРН) на вышеуказанные земельные участки зарегистрировано право собственности Российской Федерации и право аренды ОАО «РЖД».</w:t>
      </w:r>
    </w:p>
    <w:p w:rsidR="00E60462" w:rsidRDefault="00F37739" w:rsidP="00E60462">
      <w:pPr>
        <w:pStyle w:val="aa"/>
        <w:rPr>
          <w:szCs w:val="24"/>
        </w:rPr>
      </w:pPr>
      <w:r>
        <w:rPr>
          <w:szCs w:val="24"/>
        </w:rPr>
        <w:t>В соответствии с п.3</w:t>
      </w:r>
      <w:r w:rsidRPr="00766855">
        <w:rPr>
          <w:szCs w:val="24"/>
        </w:rPr>
        <w:t xml:space="preserve"> ст. 39.37 ЗК РФ</w:t>
      </w:r>
      <w:r w:rsidR="00E60462" w:rsidRPr="00C2520C">
        <w:rPr>
          <w:szCs w:val="24"/>
        </w:rPr>
        <w:t xml:space="preserve"> проектом предусмотрено образование </w:t>
      </w:r>
      <w:r>
        <w:rPr>
          <w:szCs w:val="24"/>
        </w:rPr>
        <w:t>публичных сервитутов</w:t>
      </w:r>
      <w:r w:rsidR="00E60462" w:rsidRPr="00C2520C">
        <w:rPr>
          <w:szCs w:val="24"/>
        </w:rPr>
        <w:t xml:space="preserve"> </w:t>
      </w:r>
      <w:r>
        <w:t>в</w:t>
      </w:r>
      <w:r w:rsidR="008D4943">
        <w:t xml:space="preserve"> границах полосы отвода железной</w:t>
      </w:r>
      <w:r>
        <w:t xml:space="preserve"> дорог</w:t>
      </w:r>
      <w:r w:rsidR="008D4943">
        <w:t>и</w:t>
      </w:r>
      <w:r w:rsidR="00453FA7">
        <w:rPr>
          <w:szCs w:val="24"/>
        </w:rPr>
        <w:t>.</w:t>
      </w:r>
    </w:p>
    <w:p w:rsidR="00453FA7" w:rsidRDefault="00453FA7" w:rsidP="00E60462">
      <w:pPr>
        <w:pStyle w:val="aa"/>
        <w:rPr>
          <w:szCs w:val="24"/>
        </w:rPr>
      </w:pPr>
    </w:p>
    <w:p w:rsidR="00E60462" w:rsidRPr="00A962BA" w:rsidRDefault="00E60462" w:rsidP="00E60462">
      <w:pPr>
        <w:pStyle w:val="ad"/>
        <w:pageBreakBefore w:val="0"/>
        <w:numPr>
          <w:ilvl w:val="0"/>
          <w:numId w:val="1"/>
        </w:numPr>
        <w:ind w:left="714" w:hanging="357"/>
        <w:jc w:val="left"/>
        <w:rPr>
          <w:b w:val="0"/>
          <w:sz w:val="24"/>
        </w:rPr>
      </w:pPr>
      <w:bookmarkStart w:id="4" w:name="_Toc156558007"/>
      <w:r w:rsidRPr="00A962BA">
        <w:rPr>
          <w:b w:val="0"/>
          <w:sz w:val="24"/>
        </w:rPr>
        <w:t xml:space="preserve">Обоснование </w:t>
      </w:r>
      <w:r>
        <w:rPr>
          <w:b w:val="0"/>
          <w:sz w:val="24"/>
        </w:rPr>
        <w:t>определения размеров образуемых</w:t>
      </w:r>
      <w:r w:rsidRPr="00A962BA">
        <w:rPr>
          <w:b w:val="0"/>
          <w:sz w:val="24"/>
        </w:rPr>
        <w:t xml:space="preserve"> земельных участков</w:t>
      </w:r>
      <w:bookmarkEnd w:id="4"/>
    </w:p>
    <w:p w:rsidR="00E60462" w:rsidRPr="00A962BA" w:rsidRDefault="00E60462" w:rsidP="00E60462">
      <w:pPr>
        <w:pStyle w:val="aa"/>
        <w:rPr>
          <w:szCs w:val="24"/>
        </w:rPr>
      </w:pPr>
      <w:r w:rsidRPr="00A962BA">
        <w:rPr>
          <w:bCs/>
        </w:rPr>
        <w:t>Проектом предусматривается отвод земель размещения линейного объекта</w:t>
      </w:r>
      <w:r>
        <w:rPr>
          <w:bCs/>
        </w:rPr>
        <w:t xml:space="preserve"> </w:t>
      </w:r>
      <w:r w:rsidRPr="00EE503B">
        <w:t xml:space="preserve">«Подъездная автомобильная дорога к «Приморскому универсально-перегрузочному </w:t>
      </w:r>
      <w:r w:rsidRPr="00EE503B">
        <w:lastRenderedPageBreak/>
        <w:t>комплексу» в Морском порту Приморск от автомобильной дороги федерального значения А-181 «Скандинавия».</w:t>
      </w:r>
    </w:p>
    <w:p w:rsidR="00E60462" w:rsidRPr="00A962BA" w:rsidRDefault="00E60462" w:rsidP="00E60462">
      <w:pPr>
        <w:pStyle w:val="aa"/>
      </w:pPr>
      <w:r w:rsidRPr="00A962BA">
        <w:t>При установлении границ земельных участков обеспечено полное распределение территории на земельные участки без пропусков и наложений, исключающее образование территориальных объектов неоднозначной принадлежности и назначения.</w:t>
      </w:r>
    </w:p>
    <w:p w:rsidR="00E60462" w:rsidRPr="00A962BA" w:rsidRDefault="00E60462" w:rsidP="00E60462">
      <w:pPr>
        <w:pStyle w:val="aa"/>
      </w:pPr>
      <w:r w:rsidRPr="00A962BA">
        <w:t>В соответствии с ч.4 статьи 36 Земельного кодекса РФ действие градостроительных регламентов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E60462" w:rsidRPr="001271C0" w:rsidRDefault="00E60462" w:rsidP="00E60462">
      <w:pPr>
        <w:pStyle w:val="aa"/>
      </w:pPr>
    </w:p>
    <w:p w:rsidR="00E60462" w:rsidRPr="00A962BA" w:rsidRDefault="00E60462" w:rsidP="00E60462">
      <w:pPr>
        <w:pStyle w:val="ad"/>
        <w:pageBreakBefore w:val="0"/>
        <w:numPr>
          <w:ilvl w:val="0"/>
          <w:numId w:val="1"/>
        </w:numPr>
        <w:ind w:left="714" w:hanging="357"/>
        <w:jc w:val="left"/>
        <w:rPr>
          <w:b w:val="0"/>
          <w:sz w:val="24"/>
        </w:rPr>
      </w:pPr>
      <w:bookmarkStart w:id="5" w:name="_Toc156558008"/>
      <w:r w:rsidRPr="00A962BA">
        <w:rPr>
          <w:b w:val="0"/>
          <w:sz w:val="24"/>
        </w:rPr>
        <w:t>Обоснование определения границ публичного сервитута, подлежащего установлению в соответствии с законодательством Российской Федерации</w:t>
      </w:r>
      <w:bookmarkEnd w:id="5"/>
    </w:p>
    <w:p w:rsidR="00E60462" w:rsidRPr="00A962BA" w:rsidRDefault="00E60462" w:rsidP="00E60462">
      <w:pPr>
        <w:pStyle w:val="aa"/>
      </w:pPr>
      <w:r w:rsidRPr="00A962BA">
        <w:t>Проектом предусматривается установление публичных серви</w:t>
      </w:r>
      <w:r w:rsidR="00274646">
        <w:t>тутов в соответствии со статьей</w:t>
      </w:r>
      <w:r w:rsidR="00274646">
        <w:rPr>
          <w:szCs w:val="24"/>
        </w:rPr>
        <w:t xml:space="preserve"> 4</w:t>
      </w:r>
      <w:r w:rsidR="00274646" w:rsidRPr="005553E8">
        <w:rPr>
          <w:szCs w:val="24"/>
        </w:rPr>
        <w:t xml:space="preserve"> </w:t>
      </w:r>
      <w:r w:rsidR="00274646">
        <w:rPr>
          <w:szCs w:val="24"/>
        </w:rPr>
        <w:t>Федерального закона №254 от 31.07.2020 г. (далее – ФЗ №254)</w:t>
      </w:r>
      <w:r w:rsidR="00274646">
        <w:t xml:space="preserve">, статьей </w:t>
      </w:r>
      <w:r w:rsidR="00274646" w:rsidRPr="005553E8">
        <w:rPr>
          <w:szCs w:val="24"/>
        </w:rPr>
        <w:t xml:space="preserve">39.37 </w:t>
      </w:r>
      <w:r w:rsidRPr="00A962BA">
        <w:t>Земельного кодекса Российской Федерации (далее – ЗК РФ).</w:t>
      </w:r>
    </w:p>
    <w:p w:rsidR="00E60462" w:rsidRDefault="00E60462" w:rsidP="00E60462">
      <w:pPr>
        <w:pStyle w:val="aa"/>
      </w:pPr>
      <w:r>
        <w:t>Публичные сервитуты №</w:t>
      </w:r>
      <w:r w:rsidR="00453FA7">
        <w:t>6, 33, 40, 42, 44, 64</w:t>
      </w:r>
      <w:r w:rsidRPr="00A962BA">
        <w:t xml:space="preserve"> устанавливаются согласно п. 3 статьи 39.37 ЗК РФ на пересечении или примыкании автомобильных дорог к другим автомобильным дорогам на земельных участках, находящихся в государственной или муниципальной собственности.</w:t>
      </w:r>
    </w:p>
    <w:p w:rsidR="00453FA7" w:rsidRDefault="00453FA7" w:rsidP="00E60462">
      <w:pPr>
        <w:pStyle w:val="aa"/>
      </w:pPr>
      <w:r>
        <w:t xml:space="preserve">Публичные сервитуты №13, 58 </w:t>
      </w:r>
      <w:r w:rsidRPr="00A962BA">
        <w:t>устанавливаются согласно п. 3 статьи 39.37 ЗК РФ на пересечении</w:t>
      </w:r>
      <w:r>
        <w:t xml:space="preserve"> автомобильных дорог с железнодорожными путями</w:t>
      </w:r>
      <w:r w:rsidR="00D62966">
        <w:t>.</w:t>
      </w:r>
    </w:p>
    <w:p w:rsidR="00D62966" w:rsidRDefault="00D62966" w:rsidP="00E60462">
      <w:pPr>
        <w:pStyle w:val="aa"/>
      </w:pPr>
      <w:r>
        <w:t xml:space="preserve">Публичные сервитуты №1-5, 7-12, 14-32, 34-39, 41, 43, 45-57, 59-63, 65-81 </w:t>
      </w:r>
      <w:r w:rsidRPr="00D62966">
        <w:t>устанавливаются согласно п.1 статьи 39.37 ЗК РФ на участки прохождения переустраиваемых объектов электросетевого хозяйства, линий и сооружения связи, нефтепроводов</w:t>
      </w:r>
      <w:r>
        <w:t>.</w:t>
      </w:r>
    </w:p>
    <w:p w:rsidR="00D62966" w:rsidRDefault="00D62966" w:rsidP="00D62966">
      <w:pPr>
        <w:pStyle w:val="aa"/>
      </w:pPr>
      <w:r>
        <w:t xml:space="preserve">Публичные сервитуты №82-110 </w:t>
      </w:r>
      <w:r w:rsidRPr="00D62966">
        <w:t>устанавливаются согласно п.2 статьи 39.37 ЗК РФ на участки демонтируемых объектов электросетевого хозяйства, линий и сооружения связи, нефтепроводов.</w:t>
      </w:r>
    </w:p>
    <w:p w:rsidR="00D62966" w:rsidRDefault="00D62966" w:rsidP="00D62966">
      <w:pPr>
        <w:pStyle w:val="aa"/>
      </w:pPr>
      <w:r>
        <w:t xml:space="preserve">Публичные сервитуты №111-180 </w:t>
      </w:r>
      <w:r w:rsidRPr="00D62966">
        <w:t xml:space="preserve">устанавливаются согласно </w:t>
      </w:r>
      <w:r>
        <w:rPr>
          <w:szCs w:val="24"/>
        </w:rPr>
        <w:t>п.5 ст. 4</w:t>
      </w:r>
      <w:r w:rsidRPr="005553E8">
        <w:rPr>
          <w:szCs w:val="24"/>
        </w:rPr>
        <w:t xml:space="preserve"> </w:t>
      </w:r>
      <w:r>
        <w:rPr>
          <w:szCs w:val="24"/>
        </w:rPr>
        <w:t>ФЗ №254 от 31.07.2020 г.</w:t>
      </w:r>
      <w:r w:rsidRPr="00D62966">
        <w:t xml:space="preserve"> </w:t>
      </w:r>
      <w:r>
        <w:t>для размещения наземных элементов (свеча, КИП, опора ЛЭП)</w:t>
      </w:r>
      <w:r w:rsidRPr="00D62966">
        <w:t>.</w:t>
      </w:r>
    </w:p>
    <w:p w:rsidR="00C92865" w:rsidRPr="00A962BA" w:rsidRDefault="00C92865" w:rsidP="00E60462">
      <w:pPr>
        <w:pStyle w:val="aa"/>
      </w:pPr>
    </w:p>
    <w:p w:rsidR="00E60462" w:rsidRPr="00A962BA" w:rsidRDefault="00E60462" w:rsidP="00E60462">
      <w:pPr>
        <w:pStyle w:val="aa"/>
      </w:pPr>
      <w:r w:rsidRPr="00A962BA">
        <w:t xml:space="preserve">Перечень устанавливаемых публичных сервитутов приведен в Приложении </w:t>
      </w:r>
      <w:r w:rsidR="00D62966">
        <w:t>2</w:t>
      </w:r>
      <w:r w:rsidRPr="00A962BA">
        <w:t>.</w:t>
      </w:r>
    </w:p>
    <w:p w:rsidR="00A16387" w:rsidRDefault="00E60462" w:rsidP="00E60462">
      <w:pPr>
        <w:pStyle w:val="aa"/>
        <w:ind w:firstLine="426"/>
      </w:pPr>
      <w:r w:rsidRPr="00A962BA">
        <w:t xml:space="preserve">Перечень координат характерных точек границ публичных сервитутов, подлежащих установлению в соответствии с законодательством Российской Федерации приведен в Приложении </w:t>
      </w:r>
      <w:r w:rsidR="00D62966">
        <w:t>3</w:t>
      </w:r>
      <w:r>
        <w:t>.</w:t>
      </w:r>
    </w:p>
    <w:p w:rsidR="00A16387" w:rsidRDefault="00A16387"/>
    <w:p w:rsidR="00A16387" w:rsidRDefault="00A16387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A16387" w:rsidSect="005221E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F7F" w:rsidRDefault="00FC2F7F">
      <w:pPr>
        <w:spacing w:after="0" w:line="240" w:lineRule="auto"/>
      </w:pPr>
      <w:r>
        <w:separator/>
      </w:r>
    </w:p>
  </w:endnote>
  <w:endnote w:type="continuationSeparator" w:id="0">
    <w:p w:rsidR="00FC2F7F" w:rsidRDefault="00FC2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430" w:rsidRDefault="00FC2F7F" w:rsidP="000D69F4"/>
  <w:tbl>
    <w:tblPr>
      <w:tblW w:w="5147" w:type="pct"/>
      <w:jc w:val="center"/>
      <w:tblBorders>
        <w:top w:val="double" w:sz="4" w:space="0" w:color="auto"/>
      </w:tblBorders>
      <w:tblCellMar>
        <w:top w:w="28" w:type="dxa"/>
        <w:left w:w="57" w:type="dxa"/>
        <w:right w:w="57" w:type="dxa"/>
      </w:tblCellMar>
      <w:tblLook w:val="04A0"/>
    </w:tblPr>
    <w:tblGrid>
      <w:gridCol w:w="9747"/>
    </w:tblGrid>
    <w:tr w:rsidR="005C0430" w:rsidRPr="00B92082" w:rsidTr="000D69F4">
      <w:trPr>
        <w:trHeight w:val="20"/>
        <w:jc w:val="center"/>
      </w:trPr>
      <w:tc>
        <w:tcPr>
          <w:tcW w:w="5000" w:type="pct"/>
          <w:shd w:val="clear" w:color="auto" w:fill="auto"/>
          <w:tcMar>
            <w:top w:w="28" w:type="dxa"/>
            <w:left w:w="57" w:type="dxa"/>
            <w:bottom w:w="0" w:type="dxa"/>
            <w:right w:w="57" w:type="dxa"/>
          </w:tcMar>
        </w:tcPr>
        <w:p w:rsidR="005C0430" w:rsidRPr="00B92082" w:rsidRDefault="007B7342" w:rsidP="000D69F4">
          <w:pPr>
            <w:suppressAutoHyphens/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0"/>
            </w:rPr>
          </w:pPr>
          <w:r w:rsidRPr="00144A54">
            <w:rPr>
              <w:rFonts w:ascii="Times New Roman" w:hAnsi="Times New Roman" w:cs="Times New Roman"/>
              <w:sz w:val="20"/>
            </w:rPr>
            <w:t>Изменения в проект планировки территории и проект межевания территории, утверждённые распоряжением Правительства Ленинградской области от 25 мая 2021 года № 328-р «Об утверждении проекта планировки территории и проекта межевания территории в целях размещения линейного объекта регионального значения «Подъездная автомобильная дорога к «Приморскому универсально-перегрузочному комплексу» в Морском порту Приморск от автомобильной дороги федерального значения А-181 «Скандинавия» (по титулу «Строительство подъездной автомобильной дороги к «Приморскому универсально-перегрузочному комплексу» в Морском порту Приморск от автомобильной дороги федерального значения А-181 «Скандинавия»)»</w:t>
          </w:r>
        </w:p>
      </w:tc>
    </w:tr>
  </w:tbl>
  <w:sdt>
    <w:sdtPr>
      <w:id w:val="-866601588"/>
    </w:sdtPr>
    <w:sdtEndPr>
      <w:rPr>
        <w:rFonts w:ascii="Times New Roman" w:hAnsi="Times New Roman" w:cs="Times New Roman"/>
      </w:rPr>
    </w:sdtEndPr>
    <w:sdtContent>
      <w:p w:rsidR="005C0430" w:rsidRPr="00683745" w:rsidRDefault="00760CA2" w:rsidP="00510B94">
        <w:pPr>
          <w:pStyle w:val="a5"/>
          <w:ind w:right="564"/>
          <w:jc w:val="right"/>
          <w:rPr>
            <w:rFonts w:ascii="Times New Roman" w:hAnsi="Times New Roman" w:cs="Times New Roman"/>
          </w:rPr>
        </w:pPr>
        <w:r w:rsidRPr="00683745">
          <w:rPr>
            <w:rFonts w:ascii="Times New Roman" w:hAnsi="Times New Roman" w:cs="Times New Roman"/>
          </w:rPr>
          <w:fldChar w:fldCharType="begin"/>
        </w:r>
        <w:r w:rsidR="008559A1" w:rsidRPr="00683745">
          <w:rPr>
            <w:rFonts w:ascii="Times New Roman" w:hAnsi="Times New Roman" w:cs="Times New Roman"/>
          </w:rPr>
          <w:instrText>PAGE   \* MERGEFORMAT</w:instrText>
        </w:r>
        <w:r w:rsidRPr="00683745">
          <w:rPr>
            <w:rFonts w:ascii="Times New Roman" w:hAnsi="Times New Roman" w:cs="Times New Roman"/>
          </w:rPr>
          <w:fldChar w:fldCharType="separate"/>
        </w:r>
        <w:r w:rsidR="005221E8">
          <w:rPr>
            <w:rFonts w:ascii="Times New Roman" w:hAnsi="Times New Roman" w:cs="Times New Roman"/>
            <w:noProof/>
          </w:rPr>
          <w:t>33</w:t>
        </w:r>
        <w:r w:rsidRPr="00683745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430" w:rsidRDefault="008559A1" w:rsidP="00FD35C3">
    <w:pPr>
      <w:pStyle w:val="a5"/>
      <w:jc w:val="both"/>
    </w:pPr>
    <w:r>
      <w:rPr>
        <w:rFonts w:ascii="Times New Roman" w:hAnsi="Times New Roman" w:cs="Times New Roman"/>
        <w:sz w:val="20"/>
      </w:rPr>
      <w:t>Корректировка проекта планировки территории и проекта межевания территории в целях размещения линейного объекта</w:t>
    </w:r>
    <w:r w:rsidRPr="008B2145">
      <w:rPr>
        <w:rFonts w:ascii="Times New Roman" w:hAnsi="Times New Roman" w:cs="Times New Roman"/>
        <w:sz w:val="20"/>
      </w:rPr>
      <w:t xml:space="preserve"> регионального значения «Подъездная автомобильная дорога к «Приморскому универсально-перегрузочному комплексу» в Морском порту Приморск от автомобильной дороги федерального значения А-181 «Скандинавия» (по титулу «Строительство подъездной автомобильной дороги к «Приморскому универсально-перегрузочному комплексу» в Морском порту Приморск от автомобильной дороги федерального </w:t>
    </w:r>
    <w:r>
      <w:rPr>
        <w:rFonts w:ascii="Times New Roman" w:hAnsi="Times New Roman" w:cs="Times New Roman"/>
        <w:sz w:val="20"/>
      </w:rPr>
      <w:t>значения А-181 «Скандинавия»)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F7F" w:rsidRDefault="00FC2F7F">
      <w:pPr>
        <w:spacing w:after="0" w:line="240" w:lineRule="auto"/>
      </w:pPr>
      <w:r>
        <w:separator/>
      </w:r>
    </w:p>
  </w:footnote>
  <w:footnote w:type="continuationSeparator" w:id="0">
    <w:p w:rsidR="00FC2F7F" w:rsidRDefault="00FC2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5000" w:type="pct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469"/>
    </w:tblGrid>
    <w:tr w:rsidR="005C0430" w:rsidTr="000D69F4">
      <w:trPr>
        <w:trHeight w:val="846"/>
      </w:trPr>
      <w:tc>
        <w:tcPr>
          <w:tcW w:w="2408" w:type="pct"/>
          <w:tcMar>
            <w:left w:w="57" w:type="dxa"/>
            <w:right w:w="57" w:type="dxa"/>
          </w:tcMar>
          <w:vAlign w:val="center"/>
        </w:tcPr>
        <w:p w:rsidR="005C0430" w:rsidRPr="008B2145" w:rsidRDefault="008559A1" w:rsidP="008B2145">
          <w:pPr>
            <w:ind w:left="-213"/>
            <w:jc w:val="right"/>
            <w:rPr>
              <w:b/>
            </w:rPr>
          </w:pPr>
          <w:r w:rsidRPr="008B2145">
            <w:rPr>
              <w:b/>
            </w:rPr>
            <w:t>ИП Трещенков И.В.</w:t>
          </w:r>
        </w:p>
        <w:p w:rsidR="005C0430" w:rsidRDefault="008559A1" w:rsidP="008B2145">
          <w:pPr>
            <w:tabs>
              <w:tab w:val="center" w:pos="4677"/>
              <w:tab w:val="right" w:pos="9355"/>
            </w:tabs>
            <w:ind w:firstLine="0"/>
            <w:jc w:val="right"/>
            <w:rPr>
              <w:sz w:val="6"/>
              <w:szCs w:val="16"/>
            </w:rPr>
          </w:pPr>
          <w:r w:rsidRPr="008B2145">
            <w:rPr>
              <w:b/>
            </w:rPr>
            <w:t>ОГРНИП 316784700233300</w:t>
          </w:r>
        </w:p>
      </w:tc>
    </w:tr>
  </w:tbl>
  <w:p w:rsidR="005C0430" w:rsidRDefault="00FC2F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5000" w:type="pct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9469"/>
    </w:tblGrid>
    <w:tr w:rsidR="005C0430" w:rsidTr="004C37C4">
      <w:trPr>
        <w:trHeight w:val="846"/>
      </w:trPr>
      <w:tc>
        <w:tcPr>
          <w:tcW w:w="2408" w:type="pct"/>
          <w:tcMar>
            <w:left w:w="57" w:type="dxa"/>
            <w:right w:w="57" w:type="dxa"/>
          </w:tcMar>
          <w:vAlign w:val="center"/>
        </w:tcPr>
        <w:p w:rsidR="005C0430" w:rsidRPr="008B2145" w:rsidRDefault="008559A1" w:rsidP="00FD35C3">
          <w:pPr>
            <w:ind w:left="-213"/>
            <w:jc w:val="right"/>
            <w:rPr>
              <w:b/>
            </w:rPr>
          </w:pPr>
          <w:r w:rsidRPr="008B2145">
            <w:rPr>
              <w:b/>
            </w:rPr>
            <w:t>ИП Трещенков И.В.</w:t>
          </w:r>
        </w:p>
        <w:p w:rsidR="005C0430" w:rsidRDefault="008559A1" w:rsidP="00FD35C3">
          <w:pPr>
            <w:tabs>
              <w:tab w:val="center" w:pos="4677"/>
              <w:tab w:val="right" w:pos="9355"/>
            </w:tabs>
            <w:ind w:firstLine="0"/>
            <w:jc w:val="right"/>
            <w:rPr>
              <w:sz w:val="6"/>
              <w:szCs w:val="16"/>
            </w:rPr>
          </w:pPr>
          <w:r w:rsidRPr="008B2145">
            <w:rPr>
              <w:b/>
            </w:rPr>
            <w:t>ОГРНИП 316784700233300</w:t>
          </w:r>
        </w:p>
      </w:tc>
    </w:tr>
  </w:tbl>
  <w:p w:rsidR="005C0430" w:rsidRDefault="00FC2F7F" w:rsidP="001C43E7">
    <w:pPr>
      <w:pStyle w:val="a3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B1576"/>
    <w:multiLevelType w:val="hybridMultilevel"/>
    <w:tmpl w:val="F54C1E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3A4708F"/>
    <w:multiLevelType w:val="hybridMultilevel"/>
    <w:tmpl w:val="130AB1F6"/>
    <w:lvl w:ilvl="0" w:tplc="AF4C7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462"/>
    <w:rsid w:val="000144C1"/>
    <w:rsid w:val="00043325"/>
    <w:rsid w:val="001A0F7D"/>
    <w:rsid w:val="00274646"/>
    <w:rsid w:val="00397EB8"/>
    <w:rsid w:val="00435773"/>
    <w:rsid w:val="00453FA7"/>
    <w:rsid w:val="005221E8"/>
    <w:rsid w:val="00657C1E"/>
    <w:rsid w:val="0067440C"/>
    <w:rsid w:val="00760CA2"/>
    <w:rsid w:val="007B7342"/>
    <w:rsid w:val="007C3FC7"/>
    <w:rsid w:val="007D105E"/>
    <w:rsid w:val="00811EB1"/>
    <w:rsid w:val="008211D5"/>
    <w:rsid w:val="008220B8"/>
    <w:rsid w:val="008559A1"/>
    <w:rsid w:val="008D4943"/>
    <w:rsid w:val="009C2C02"/>
    <w:rsid w:val="00A04608"/>
    <w:rsid w:val="00A16387"/>
    <w:rsid w:val="00A37951"/>
    <w:rsid w:val="00A54239"/>
    <w:rsid w:val="00C03894"/>
    <w:rsid w:val="00C839F8"/>
    <w:rsid w:val="00C92865"/>
    <w:rsid w:val="00D13B71"/>
    <w:rsid w:val="00D3460A"/>
    <w:rsid w:val="00D62966"/>
    <w:rsid w:val="00E14DFD"/>
    <w:rsid w:val="00E37F90"/>
    <w:rsid w:val="00E60462"/>
    <w:rsid w:val="00E918E7"/>
    <w:rsid w:val="00F37739"/>
    <w:rsid w:val="00FA1A5B"/>
    <w:rsid w:val="00FC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62"/>
  </w:style>
  <w:style w:type="paragraph" w:styleId="1">
    <w:name w:val="heading 1"/>
    <w:basedOn w:val="a"/>
    <w:next w:val="a"/>
    <w:link w:val="10"/>
    <w:uiPriority w:val="9"/>
    <w:qFormat/>
    <w:rsid w:val="00E604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1,ВерхКолонтитул,I.L.T.,Title Up,??????? ??????????,??????? ??????????1,??????? ??????????2,??????? ??????????3,??????? ??????????11,??????? ??????????21,??????? ??????????4,??????? ??????????5,header-first,HeaderPor"/>
    <w:basedOn w:val="a"/>
    <w:link w:val="a4"/>
    <w:uiPriority w:val="99"/>
    <w:unhideWhenUsed/>
    <w:rsid w:val="00E60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ний колонтитул1 Знак,ВерхКолонтитул Знак,I.L.T. Знак,Title Up Знак,??????? ?????????? Знак,??????? ??????????1 Знак,??????? ??????????2 Знак,??????? ??????????3 Знак,??????? ??????????11 Знак,??????? ??????????21 Знак"/>
    <w:basedOn w:val="a0"/>
    <w:link w:val="a3"/>
    <w:uiPriority w:val="99"/>
    <w:rsid w:val="00E60462"/>
  </w:style>
  <w:style w:type="paragraph" w:styleId="a5">
    <w:name w:val="footer"/>
    <w:basedOn w:val="a"/>
    <w:link w:val="a6"/>
    <w:uiPriority w:val="99"/>
    <w:unhideWhenUsed/>
    <w:rsid w:val="00E60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0462"/>
  </w:style>
  <w:style w:type="table" w:styleId="a7">
    <w:name w:val="Table Grid"/>
    <w:basedOn w:val="a1"/>
    <w:uiPriority w:val="59"/>
    <w:rsid w:val="00E60462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ОДЕРЖАНИЕ"/>
    <w:basedOn w:val="a"/>
    <w:link w:val="a9"/>
    <w:qFormat/>
    <w:rsid w:val="00E60462"/>
    <w:pPr>
      <w:pageBreakBefore/>
      <w:spacing w:after="240" w:line="276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9">
    <w:name w:val="СОДЕРЖАНИЕ Знак"/>
    <w:basedOn w:val="a0"/>
    <w:link w:val="a8"/>
    <w:rsid w:val="00E6046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11">
    <w:name w:val="toc 1"/>
    <w:basedOn w:val="a"/>
    <w:next w:val="a"/>
    <w:uiPriority w:val="39"/>
    <w:unhideWhenUsed/>
    <w:qFormat/>
    <w:rsid w:val="00E60462"/>
    <w:pPr>
      <w:tabs>
        <w:tab w:val="right" w:leader="dot" w:pos="9486"/>
      </w:tabs>
      <w:spacing w:after="0" w:line="276" w:lineRule="auto"/>
    </w:pPr>
    <w:rPr>
      <w:rFonts w:ascii="Times New Roman" w:hAnsi="Times New Roman" w:cs="Times New Roman"/>
      <w:bCs/>
      <w:noProof/>
      <w:sz w:val="24"/>
      <w:szCs w:val="24"/>
    </w:rPr>
  </w:style>
  <w:style w:type="paragraph" w:customStyle="1" w:styleId="aa">
    <w:name w:val="_ТЕКСТОВАЯ ЧАСТЬ"/>
    <w:basedOn w:val="a"/>
    <w:link w:val="ab"/>
    <w:qFormat/>
    <w:rsid w:val="00E6046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_ТЕКСТОВАЯ ЧАСТЬ Знак"/>
    <w:basedOn w:val="a0"/>
    <w:link w:val="aa"/>
    <w:rsid w:val="00E6046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c">
    <w:name w:val="Hyperlink"/>
    <w:basedOn w:val="a0"/>
    <w:uiPriority w:val="99"/>
    <w:unhideWhenUsed/>
    <w:rsid w:val="00E60462"/>
    <w:rPr>
      <w:color w:val="0563C1" w:themeColor="hyperlink"/>
      <w:u w:val="single"/>
    </w:rPr>
  </w:style>
  <w:style w:type="paragraph" w:customStyle="1" w:styleId="ad">
    <w:name w:val="ЗАГОЛОВОК БЕЗ №"/>
    <w:basedOn w:val="1"/>
    <w:next w:val="aa"/>
    <w:link w:val="ae"/>
    <w:qFormat/>
    <w:rsid w:val="00E60462"/>
    <w:pPr>
      <w:pageBreakBefore/>
      <w:suppressAutoHyphens/>
      <w:spacing w:before="0" w:after="240" w:line="240" w:lineRule="auto"/>
      <w:jc w:val="center"/>
    </w:pPr>
    <w:rPr>
      <w:rFonts w:ascii="Times New Roman" w:eastAsia="Times New Roman" w:hAnsi="Times New Roman" w:cs="Times New Roman"/>
      <w:b/>
      <w:color w:val="auto"/>
      <w:sz w:val="28"/>
      <w:szCs w:val="24"/>
      <w:lang w:eastAsia="ru-RU"/>
    </w:rPr>
  </w:style>
  <w:style w:type="character" w:customStyle="1" w:styleId="ae">
    <w:name w:val="ЗАГОЛОВОК БЕЗ № Знак"/>
    <w:basedOn w:val="a0"/>
    <w:link w:val="ad"/>
    <w:rsid w:val="00E6046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04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657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57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BE6D2-8992-401D-B069-58761648F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RADIANT</Company>
  <LinksUpToDate>false</LinksUpToDate>
  <CharactersWithSpaces>10228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Образцова</dc:creator>
  <cp:keywords/>
  <dc:description/>
  <cp:lastModifiedBy>Asus</cp:lastModifiedBy>
  <cp:revision>17</cp:revision>
  <cp:lastPrinted>2024-01-19T10:53:00Z</cp:lastPrinted>
  <dcterms:created xsi:type="dcterms:W3CDTF">2024-01-26T11:06:00Z</dcterms:created>
  <dcterms:modified xsi:type="dcterms:W3CDTF">2024-10-17T13:35:00Z</dcterms:modified>
</cp:coreProperties>
</file>